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19" w:rsidRDefault="001B4C19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1B4C19" w:rsidRDefault="001B4C19">
      <w:pPr>
        <w:spacing w:line="240" w:lineRule="exact"/>
        <w:jc w:val="center"/>
        <w:rPr>
          <w:rFonts w:ascii="宋体"/>
          <w:b/>
          <w:bCs/>
          <w:sz w:val="32"/>
          <w:szCs w:val="32"/>
        </w:rPr>
      </w:pPr>
    </w:p>
    <w:p w:rsidR="001B4C19" w:rsidRDefault="001B4C19">
      <w:pPr>
        <w:jc w:val="center"/>
      </w:pPr>
    </w:p>
    <w:p w:rsidR="001B4C19" w:rsidRDefault="001B4C1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16.4pt;height:112.8pt;visibility:visible">
            <v:imagedata r:id="rId6" o:title=""/>
          </v:shape>
        </w:pict>
      </w:r>
    </w:p>
    <w:p w:rsidR="001B4C19" w:rsidRDefault="001B4C19"/>
    <w:p w:rsidR="001B4C19" w:rsidRDefault="001B4C19"/>
    <w:p w:rsidR="001B4C19" w:rsidRDefault="001B4C19"/>
    <w:p w:rsidR="001B4C19" w:rsidRDefault="001B4C19">
      <w:pPr>
        <w:spacing w:line="780" w:lineRule="exact"/>
        <w:jc w:val="center"/>
        <w:rPr>
          <w:rFonts w:ascii="华康简标题宋" w:eastAsia="华康简标题宋" w:hAnsi="小标宋"/>
          <w:sz w:val="44"/>
          <w:szCs w:val="44"/>
        </w:rPr>
      </w:pPr>
      <w:r>
        <w:rPr>
          <w:rFonts w:ascii="华康简标题宋" w:eastAsia="华康简标题宋" w:hAnsi="小标宋" w:cs="华康简标题宋" w:hint="eastAsia"/>
          <w:sz w:val="44"/>
          <w:szCs w:val="44"/>
        </w:rPr>
        <w:t>第二届“黑龙江省优秀中青年法学家”</w:t>
      </w:r>
    </w:p>
    <w:p w:rsidR="001B4C19" w:rsidRDefault="001B4C19">
      <w:pPr>
        <w:spacing w:line="780" w:lineRule="exact"/>
        <w:jc w:val="center"/>
        <w:rPr>
          <w:rFonts w:ascii="华康简标题宋" w:eastAsia="华康简标题宋" w:hAnsi="小标宋"/>
          <w:sz w:val="44"/>
          <w:szCs w:val="44"/>
        </w:rPr>
      </w:pPr>
      <w:r>
        <w:rPr>
          <w:rFonts w:ascii="华康简标题宋" w:eastAsia="华康简标题宋" w:hAnsi="小标宋" w:cs="华康简标题宋" w:hint="eastAsia"/>
          <w:sz w:val="44"/>
          <w:szCs w:val="44"/>
        </w:rPr>
        <w:t>推荐表</w:t>
      </w:r>
    </w:p>
    <w:p w:rsidR="001B4C19" w:rsidRDefault="001B4C19"/>
    <w:p w:rsidR="001B4C19" w:rsidRDefault="001B4C19"/>
    <w:p w:rsidR="001B4C19" w:rsidRDefault="001B4C19"/>
    <w:p w:rsidR="001B4C19" w:rsidRDefault="001B4C19"/>
    <w:p w:rsidR="001B4C19" w:rsidRDefault="001B4C19"/>
    <w:p w:rsidR="001B4C19" w:rsidRDefault="001B4C19"/>
    <w:p w:rsidR="001B4C19" w:rsidRDefault="001B4C19">
      <w:pPr>
        <w:snapToGrid w:val="0"/>
        <w:rPr>
          <w:sz w:val="28"/>
          <w:szCs w:val="28"/>
        </w:rPr>
      </w:pPr>
    </w:p>
    <w:p w:rsidR="001B4C19" w:rsidRDefault="001B4C19">
      <w:pPr>
        <w:snapToGrid w:val="0"/>
        <w:rPr>
          <w:sz w:val="28"/>
          <w:szCs w:val="28"/>
        </w:rPr>
      </w:pPr>
    </w:p>
    <w:p w:rsidR="001B4C19" w:rsidRDefault="001B4C19">
      <w:pPr>
        <w:snapToGrid w:val="0"/>
        <w:rPr>
          <w:sz w:val="28"/>
          <w:szCs w:val="28"/>
        </w:rPr>
      </w:pPr>
    </w:p>
    <w:p w:rsidR="001B4C19" w:rsidRDefault="001B4C19" w:rsidP="0045183E">
      <w:pPr>
        <w:snapToGrid w:val="0"/>
        <w:ind w:firstLineChars="600" w:firstLine="316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姓</w:t>
      </w: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名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>唐宝山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</w:t>
      </w:r>
    </w:p>
    <w:p w:rsidR="001B4C19" w:rsidRDefault="001B4C19">
      <w:pPr>
        <w:snapToGrid w:val="0"/>
        <w:rPr>
          <w:rFonts w:ascii="黑体" w:eastAsia="黑体" w:hAnsi="黑体"/>
          <w:sz w:val="28"/>
          <w:szCs w:val="28"/>
          <w:u w:val="single"/>
        </w:rPr>
      </w:pPr>
    </w:p>
    <w:p w:rsidR="001B4C19" w:rsidRDefault="001B4C19" w:rsidP="0045183E">
      <w:pPr>
        <w:snapToGrid w:val="0"/>
        <w:ind w:firstLineChars="600" w:firstLine="316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工作单位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>绥化市中级人民法院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</w:t>
      </w:r>
    </w:p>
    <w:p w:rsidR="001B4C19" w:rsidRDefault="001B4C19">
      <w:pPr>
        <w:snapToGrid w:val="0"/>
        <w:rPr>
          <w:rFonts w:ascii="黑体" w:eastAsia="黑体" w:hAnsi="黑体"/>
          <w:sz w:val="28"/>
          <w:szCs w:val="28"/>
          <w:u w:val="single"/>
        </w:rPr>
      </w:pPr>
    </w:p>
    <w:p w:rsidR="001B4C19" w:rsidRDefault="001B4C19" w:rsidP="0045183E">
      <w:pPr>
        <w:snapToGrid w:val="0"/>
        <w:ind w:firstLineChars="600" w:firstLine="316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推荐单位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>绥化市法学会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</w:t>
      </w:r>
    </w:p>
    <w:p w:rsidR="001B4C19" w:rsidRDefault="001B4C19">
      <w:pPr>
        <w:snapToGrid w:val="0"/>
        <w:rPr>
          <w:rFonts w:ascii="黑体" w:eastAsia="黑体" w:hAnsi="黑体"/>
          <w:u w:val="single"/>
        </w:rPr>
      </w:pPr>
    </w:p>
    <w:p w:rsidR="001B4C19" w:rsidRDefault="001B4C19">
      <w:pPr>
        <w:snapToGrid w:val="0"/>
        <w:rPr>
          <w:rFonts w:eastAsia="Times New Roman"/>
          <w:b/>
          <w:bCs/>
          <w:u w:val="single"/>
        </w:rPr>
      </w:pPr>
    </w:p>
    <w:p w:rsidR="001B4C19" w:rsidRDefault="001B4C19">
      <w:pPr>
        <w:snapToGrid w:val="0"/>
        <w:spacing w:line="120" w:lineRule="exact"/>
        <w:rPr>
          <w:rFonts w:eastAsia="Times New Roman"/>
          <w:b/>
          <w:bCs/>
          <w:u w:val="single"/>
        </w:rPr>
      </w:pPr>
    </w:p>
    <w:p w:rsidR="001B4C19" w:rsidRDefault="001B4C19">
      <w:pPr>
        <w:snapToGrid w:val="0"/>
        <w:spacing w:line="120" w:lineRule="exact"/>
        <w:rPr>
          <w:rFonts w:eastAsia="Times New Roman"/>
          <w:b/>
          <w:bCs/>
          <w:u w:val="single"/>
        </w:rPr>
      </w:pPr>
    </w:p>
    <w:p w:rsidR="001B4C19" w:rsidRDefault="001B4C19">
      <w:pPr>
        <w:snapToGrid w:val="0"/>
        <w:spacing w:line="120" w:lineRule="exact"/>
        <w:rPr>
          <w:rFonts w:eastAsia="Times New Roman"/>
          <w:b/>
          <w:bCs/>
          <w:u w:val="single"/>
        </w:rPr>
      </w:pPr>
    </w:p>
    <w:p w:rsidR="001B4C19" w:rsidRDefault="001B4C19">
      <w:pPr>
        <w:snapToGrid w:val="0"/>
        <w:spacing w:line="120" w:lineRule="exact"/>
        <w:rPr>
          <w:rFonts w:eastAsia="Times New Roman"/>
          <w:b/>
          <w:bCs/>
          <w:u w:val="single"/>
        </w:rPr>
      </w:pPr>
    </w:p>
    <w:p w:rsidR="001B4C19" w:rsidRDefault="001B4C19">
      <w:pPr>
        <w:snapToGrid w:val="0"/>
        <w:rPr>
          <w:rFonts w:eastAsia="Times New Roman"/>
          <w:b/>
          <w:bCs/>
          <w:u w:val="single"/>
        </w:rPr>
      </w:pPr>
    </w:p>
    <w:p w:rsidR="001B4C19" w:rsidRDefault="001B4C19">
      <w:pPr>
        <w:jc w:val="center"/>
        <w:rPr>
          <w:rFonts w:ascii="楷体_GB2312" w:eastAsia="楷体_GB2312" w:hAnsi="Arial Narrow"/>
          <w:sz w:val="32"/>
          <w:szCs w:val="32"/>
        </w:rPr>
      </w:pPr>
      <w:r>
        <w:rPr>
          <w:rFonts w:ascii="楷体_GB2312" w:eastAsia="楷体_GB2312" w:hAnsi="Arial Narrow" w:cs="楷体_GB2312" w:hint="eastAsia"/>
          <w:sz w:val="32"/>
          <w:szCs w:val="32"/>
        </w:rPr>
        <w:t>黑龙江省法学会</w:t>
      </w:r>
    </w:p>
    <w:p w:rsidR="001B4C19" w:rsidRDefault="001B4C19">
      <w:pPr>
        <w:snapToGrid w:val="0"/>
        <w:jc w:val="center"/>
        <w:rPr>
          <w:rFonts w:ascii="楷体_GB2312" w:eastAsia="楷体_GB2312"/>
          <w:b/>
          <w:bCs/>
          <w:u w:val="single"/>
        </w:rPr>
      </w:pPr>
      <w:r>
        <w:rPr>
          <w:rFonts w:ascii="楷体_GB2312" w:eastAsia="楷体_GB2312" w:hAnsi="Arial Narrow" w:cs="楷体_GB2312"/>
          <w:sz w:val="32"/>
          <w:szCs w:val="32"/>
        </w:rPr>
        <w:t>2020</w:t>
      </w:r>
      <w:r>
        <w:rPr>
          <w:rFonts w:ascii="楷体_GB2312" w:eastAsia="楷体_GB2312" w:hAnsi="Arial Narrow" w:cs="楷体_GB2312" w:hint="eastAsia"/>
          <w:sz w:val="32"/>
          <w:szCs w:val="32"/>
        </w:rPr>
        <w:t>年</w:t>
      </w:r>
      <w:r>
        <w:rPr>
          <w:rFonts w:ascii="楷体_GB2312" w:eastAsia="楷体_GB2312" w:hAnsi="Arial Narrow" w:cs="楷体_GB2312"/>
          <w:sz w:val="32"/>
          <w:szCs w:val="32"/>
        </w:rPr>
        <w:t>11</w:t>
      </w:r>
      <w:r>
        <w:rPr>
          <w:rFonts w:ascii="楷体_GB2312" w:eastAsia="楷体_GB2312" w:hAnsi="Arial Narrow" w:cs="楷体_GB2312" w:hint="eastAsia"/>
          <w:sz w:val="32"/>
          <w:szCs w:val="32"/>
        </w:rPr>
        <w:t>月印制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613"/>
        <w:gridCol w:w="2094"/>
        <w:gridCol w:w="1270"/>
        <w:gridCol w:w="2007"/>
        <w:gridCol w:w="1975"/>
      </w:tblGrid>
      <w:tr w:rsidR="001B4C19" w:rsidRPr="001D479B">
        <w:trPr>
          <w:cantSplit/>
          <w:trHeight w:val="804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/>
                <w:color w:val="000000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br w:type="page"/>
            </w: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表一：推荐候选人情况</w:t>
            </w:r>
          </w:p>
        </w:tc>
      </w:tr>
      <w:tr w:rsidR="001B4C19" w:rsidRPr="001D479B">
        <w:trPr>
          <w:cantSplit/>
          <w:trHeight w:val="448"/>
          <w:jc w:val="center"/>
        </w:trPr>
        <w:tc>
          <w:tcPr>
            <w:tcW w:w="1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姓</w:t>
            </w: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 xml:space="preserve">    </w:t>
            </w: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唐宝山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性</w:t>
            </w: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 xml:space="preserve">    </w:t>
            </w: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</w:tcBorders>
            <w:vAlign w:val="center"/>
          </w:tcPr>
          <w:p w:rsidR="001B4C19" w:rsidRPr="001D479B" w:rsidRDefault="001B4C19" w:rsidP="001962B9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 w:rsidRPr="00EF22DD">
              <w:pict>
                <v:shape id="图片 5" o:spid="_x0000_i1026" type="#_x0000_t75" alt="e727047e519890071e5f587233fbb61" style="width:86.4pt;height:111.6pt;visibility:visible;mso-wrap-distance-left:9.05pt;mso-wrap-distance-right:9.05pt" o:allowoverlap="f">
                  <v:imagedata r:id="rId7" o:title=""/>
                </v:shape>
              </w:pict>
            </w:r>
          </w:p>
        </w:tc>
      </w:tr>
      <w:tr w:rsidR="001B4C19" w:rsidRPr="001D479B">
        <w:trPr>
          <w:cantSplit/>
          <w:trHeight w:val="467"/>
          <w:jc w:val="center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>1975</w:t>
            </w:r>
            <w:r>
              <w:rPr>
                <w:rFonts w:ascii="??_GB2312" w:hAnsi="宋体" w:cs="??_GB2312"/>
                <w:color w:val="000000"/>
                <w:sz w:val="24"/>
                <w:szCs w:val="24"/>
              </w:rPr>
              <w:t>.</w:t>
            </w: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民</w:t>
            </w: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 xml:space="preserve">    </w:t>
            </w: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975" w:type="dxa"/>
            <w:vMerge/>
            <w:tcBorders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val="465"/>
          <w:jc w:val="center"/>
        </w:trPr>
        <w:tc>
          <w:tcPr>
            <w:tcW w:w="16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学</w:t>
            </w:r>
            <w:r w:rsidRPr="001D479B"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 xml:space="preserve">    </w:t>
            </w: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大学</w:t>
            </w:r>
          </w:p>
        </w:tc>
        <w:tc>
          <w:tcPr>
            <w:tcW w:w="1975" w:type="dxa"/>
            <w:vMerge/>
            <w:tcBorders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val="442"/>
          <w:jc w:val="center"/>
        </w:trPr>
        <w:tc>
          <w:tcPr>
            <w:tcW w:w="1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val="528"/>
          <w:jc w:val="center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黑龙江省绥化市中级人民法院</w:t>
            </w:r>
          </w:p>
        </w:tc>
        <w:tc>
          <w:tcPr>
            <w:tcW w:w="1975" w:type="dxa"/>
            <w:vMerge/>
            <w:tcBorders>
              <w:left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val="443"/>
          <w:jc w:val="center"/>
        </w:trPr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snapToGrid w:val="0"/>
              <w:jc w:val="center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34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4C19" w:rsidRPr="001D479B" w:rsidRDefault="001B4C19" w:rsidP="001B4C19">
            <w:pPr>
              <w:snapToGrid w:val="0"/>
              <w:ind w:firstLineChars="450" w:firstLine="31680"/>
              <w:rPr>
                <w:rFonts w:ascii="??_GB2312" w:eastAsia="Times New Roman" w:hAnsi="宋体"/>
                <w:color w:val="000000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  <w:t>黑龙江省绥化市中级人民法院</w:t>
            </w:r>
          </w:p>
        </w:tc>
      </w:tr>
      <w:tr w:rsidR="001B4C19" w:rsidRPr="001D479B">
        <w:trPr>
          <w:cantSplit/>
          <w:trHeight w:val="8699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spacing w:line="240" w:lineRule="exact"/>
              <w:rPr>
                <w:rFonts w:ascii="宋体"/>
                <w:color w:val="00000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个人简历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44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唐宝山，男，汉族，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1975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5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月生，黑龙江省肇东市人，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1997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7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月参加工作，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2001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6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月加入中国共产党，黑龙江大学法律硕士在职学历。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现任绥化市中级人民法院行政庭审判员、四级高级法官（正科级）。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1997.07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1998.11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黑龙江华润金玉集团公司职员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1998.11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2003.10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肇东市司法局司法助理、昌五司法所所长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2003.10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2006.04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肇东市东升区办事处、肇东市信访办（挂职）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2006.04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2008.04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黑龙江肇东经济开发区管理委员会综合服务执法科负责人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2008.04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2008.08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黑龙江肇东经济开发区管理委员会纪检书记兼执法科科长（副科级）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2008.08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2010.09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黑龙江省绥化市中级人民法院行政庭副主任科员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2010.09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2012.12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黑龙江省绥化市中级人民法院行政庭助理审判员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2012.12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2013.03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黑龙江省绥化市中级人民法院行政庭助理审判员（正科级）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2013.03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       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黑龙江省绥化市中级人民法院行政庭审判员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2019.02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2019.08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广东省湛江市中级人民法院审判管理办公室副主任（挂职）</w:t>
            </w:r>
          </w:p>
        </w:tc>
      </w:tr>
      <w:tr w:rsidR="001B4C19" w:rsidRPr="001D479B">
        <w:trPr>
          <w:cantSplit/>
          <w:trHeight w:hRule="exact" w:val="4745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重要学术成果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论文：《热制度下的冷思考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——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浅议行政机关负责人出庭应诉》，单独署名，发表于《法制宣传资料》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2018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年第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4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期。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hRule="exact" w:val="3810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重要智库成果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（含智库成果获得领导批示、被有关部门使用采纳的情况。）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为推动新行政诉讼法的贯彻实施，参与制定《全市行政机关负责人出庭应诉办法》，规范行政机关出庭应诉的行为。市委、市政府、市人大主要领导作出批示，要求各县、市（区）参照制定相关规定。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hRule="exact" w:val="4366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b/>
                <w:bCs/>
                <w:color w:val="0000FF"/>
                <w:kern w:val="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在法学教育方面的贡献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（如编写重点教材、主讲精品课程、在法学教育方面获得的重要荣誉表彰等。）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B4C19" w:rsidRPr="001D479B">
        <w:trPr>
          <w:cantSplit/>
          <w:trHeight w:hRule="exact" w:val="4366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在法治宣传方面的贡献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b/>
                <w:bCs/>
                <w:color w:val="0000FF"/>
                <w:kern w:val="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（如担任法治宣讲活动主讲人、在媒体上发表法治宣传文章等。）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大力宣传法律，弘扬法治理念，为全市新任职的人民陪审员岗前培训授课。系统讲解了《人民陪审员法》、《人民陪审员选任办法（试行）》及其他相关业务知识，从理论知识、参审要点、业务技能等方面，为人民陪审员提供了有针对性、实用性的教学，使人民陪审员充分认识到自己肩负的神圣使命，恪守公平正义底线，不忘陪审员的初心，牢记陪审员的使命，共同维护司法公正。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380" w:lineRule="exact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</w:tc>
      </w:tr>
      <w:tr w:rsidR="001B4C19" w:rsidRPr="001D479B">
        <w:trPr>
          <w:cantSplit/>
          <w:trHeight w:hRule="exact" w:val="2675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在法治实践方面的贡献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（如在实务部门挂职、参与重大案件论证、仲裁等。）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    2019.02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—</w:t>
            </w: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 xml:space="preserve">2019.08  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广东省湛江市中级人民法院审判管理办公室副主任（挂职），参与调研、制定《湛江市中级人民法院司法委托管理工作规定》。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</w:tc>
      </w:tr>
      <w:tr w:rsidR="001B4C19" w:rsidRPr="001D479B">
        <w:trPr>
          <w:cantSplit/>
          <w:trHeight w:hRule="exact" w:val="2443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b/>
                <w:bCs/>
                <w:color w:val="0000FF"/>
                <w:kern w:val="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获得奖项和表彰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spacing w:line="160" w:lineRule="exact"/>
              <w:jc w:val="center"/>
              <w:rPr>
                <w:rFonts w:ascii="宋体"/>
                <w:b/>
                <w:bCs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 w:rsidRPr="001D479B">
              <w:rPr>
                <w:rFonts w:ascii="楷体_GB2312" w:eastAsia="楷体_GB2312" w:hAnsi="楷体" w:cs="楷体_GB2312" w:hint="eastAsia"/>
                <w:color w:val="000000"/>
                <w:sz w:val="24"/>
                <w:szCs w:val="24"/>
              </w:rPr>
              <w:t>（请注明获得时间及等级）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</w:tc>
      </w:tr>
      <w:tr w:rsidR="001B4C19" w:rsidRPr="001D479B">
        <w:trPr>
          <w:cantSplit/>
          <w:trHeight w:hRule="exact" w:val="3058"/>
          <w:jc w:val="center"/>
        </w:trPr>
        <w:tc>
          <w:tcPr>
            <w:tcW w:w="8959" w:type="dxa"/>
            <w:gridSpan w:val="5"/>
            <w:tcBorders>
              <w:bottom w:val="single" w:sz="4" w:space="0" w:color="000000"/>
            </w:tcBorders>
            <w:vAlign w:val="center"/>
          </w:tcPr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b/>
                <w:bCs/>
                <w:color w:val="0000FF"/>
                <w:kern w:val="0"/>
                <w:sz w:val="30"/>
                <w:szCs w:val="30"/>
              </w:rPr>
            </w:pP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D479B">
              <w:rPr>
                <w:rFonts w:ascii="黑体" w:eastAsia="黑体" w:hAnsi="黑体" w:cs="黑体" w:hint="eastAsia"/>
                <w:sz w:val="30"/>
                <w:szCs w:val="30"/>
              </w:rPr>
              <w:t>学术职务及其他重要社会兼职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2014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年，入选省委巡视人才库；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2017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年，被推荐为中共绥化市委党校兼职教师；</w:t>
            </w:r>
          </w:p>
          <w:p w:rsidR="001B4C19" w:rsidRPr="001D479B" w:rsidRDefault="001B4C19" w:rsidP="001B4C19">
            <w:pPr>
              <w:spacing w:line="440" w:lineRule="exact"/>
              <w:ind w:firstLineChars="200" w:firstLine="31680"/>
              <w:rPr>
                <w:rFonts w:ascii="??_GB2312" w:eastAsia="Times New Roman" w:hAnsi="宋体"/>
                <w:sz w:val="24"/>
                <w:szCs w:val="24"/>
              </w:rPr>
            </w:pPr>
            <w:r w:rsidRPr="001D479B">
              <w:rPr>
                <w:rFonts w:ascii="??_GB2312" w:eastAsia="Times New Roman" w:hAnsi="宋体" w:cs="??_GB2312"/>
                <w:sz w:val="24"/>
                <w:szCs w:val="24"/>
              </w:rPr>
              <w:t>2018</w:t>
            </w:r>
            <w:r w:rsidRPr="001D479B">
              <w:rPr>
                <w:rFonts w:ascii="??_GB2312" w:eastAsia="Times New Roman" w:hAnsi="宋体" w:cs="Times New Roman"/>
                <w:sz w:val="24"/>
                <w:szCs w:val="24"/>
              </w:rPr>
              <w:t>年，入选全省法院高层次审判后备人才库。</w:t>
            </w:r>
          </w:p>
          <w:p w:rsidR="001B4C19" w:rsidRPr="001D479B" w:rsidRDefault="001B4C19">
            <w:pPr>
              <w:tabs>
                <w:tab w:val="left" w:pos="4185"/>
              </w:tabs>
              <w:snapToGrid w:val="0"/>
              <w:jc w:val="left"/>
              <w:rPr>
                <w:color w:val="0000FF"/>
                <w:kern w:val="0"/>
                <w:sz w:val="32"/>
                <w:szCs w:val="32"/>
              </w:rPr>
            </w:pPr>
          </w:p>
        </w:tc>
      </w:tr>
    </w:tbl>
    <w:p w:rsidR="001B4C19" w:rsidRDefault="001B4C19" w:rsidP="001B4C19">
      <w:pPr>
        <w:widowControl/>
        <w:shd w:val="clear" w:color="auto" w:fill="FFFFFF"/>
        <w:spacing w:line="600" w:lineRule="exact"/>
        <w:ind w:leftChars="100" w:left="31680" w:rightChars="100" w:right="31680"/>
        <w:rPr>
          <w:rFonts w:ascii="??_GB2312" w:eastAsia="Times New Roman" w:hAnsi="仿宋"/>
          <w:color w:val="000000"/>
          <w:kern w:val="0"/>
          <w:sz w:val="32"/>
          <w:szCs w:val="32"/>
        </w:rPr>
      </w:pPr>
    </w:p>
    <w:sectPr w:rsidR="001B4C19" w:rsidSect="00951CAA">
      <w:headerReference w:type="default" r:id="rId8"/>
      <w:footerReference w:type="default" r:id="rId9"/>
      <w:pgSz w:w="11907" w:h="16840"/>
      <w:pgMar w:top="1985" w:right="1474" w:bottom="1644" w:left="1474" w:header="851" w:footer="1077" w:gutter="0"/>
      <w:cols w:space="720"/>
      <w:docGrid w:type="lines" w:linePitch="306" w:charSpace="407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19" w:rsidRDefault="001B4C19" w:rsidP="00951CAA">
      <w:r>
        <w:separator/>
      </w:r>
    </w:p>
  </w:endnote>
  <w:endnote w:type="continuationSeparator" w:id="0">
    <w:p w:rsidR="001B4C19" w:rsidRDefault="001B4C19" w:rsidP="0095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小标宋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altName w:val="Segoe Script"/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19" w:rsidRDefault="001B4C19" w:rsidP="00E71A6D">
    <w:pPr>
      <w:pStyle w:val="Footer"/>
      <w:ind w:rightChars="100" w:right="31680"/>
      <w:jc w:val="right"/>
    </w:pPr>
    <w:r>
      <w:rPr>
        <w:rFonts w:ascii="宋体" w:hAnsi="宋体" w:cs="宋体"/>
        <w:kern w:val="0"/>
        <w:position w:val="-36"/>
        <w:sz w:val="28"/>
        <w:szCs w:val="28"/>
      </w:rPr>
      <w:t xml:space="preserve">— </w:t>
    </w:r>
    <w:r>
      <w:rPr>
        <w:rFonts w:ascii="宋体" w:hAnsi="宋体" w:cs="宋体"/>
        <w:kern w:val="0"/>
        <w:position w:val="-36"/>
        <w:sz w:val="28"/>
        <w:szCs w:val="28"/>
      </w:rPr>
      <w:fldChar w:fldCharType="begin"/>
    </w:r>
    <w:r>
      <w:rPr>
        <w:rFonts w:ascii="宋体" w:hAnsi="宋体" w:cs="宋体"/>
        <w:kern w:val="0"/>
        <w:position w:val="-36"/>
        <w:sz w:val="28"/>
        <w:szCs w:val="28"/>
      </w:rPr>
      <w:instrText xml:space="preserve"> PAGE </w:instrText>
    </w:r>
    <w:r>
      <w:rPr>
        <w:rFonts w:ascii="宋体" w:hAnsi="宋体" w:cs="宋体"/>
        <w:kern w:val="0"/>
        <w:position w:val="-36"/>
        <w:sz w:val="28"/>
        <w:szCs w:val="28"/>
      </w:rPr>
      <w:fldChar w:fldCharType="separate"/>
    </w:r>
    <w:r>
      <w:rPr>
        <w:rFonts w:ascii="宋体" w:hAnsi="宋体" w:cs="宋体"/>
        <w:noProof/>
        <w:kern w:val="0"/>
        <w:position w:val="-36"/>
        <w:sz w:val="28"/>
        <w:szCs w:val="28"/>
      </w:rPr>
      <w:t>2</w:t>
    </w:r>
    <w:r>
      <w:rPr>
        <w:rFonts w:ascii="宋体" w:hAnsi="宋体" w:cs="宋体"/>
        <w:kern w:val="0"/>
        <w:position w:val="-36"/>
        <w:sz w:val="28"/>
        <w:szCs w:val="28"/>
      </w:rPr>
      <w:fldChar w:fldCharType="end"/>
    </w:r>
    <w:r>
      <w:rPr>
        <w:rFonts w:ascii="宋体" w:hAnsi="宋体" w:cs="宋体"/>
        <w:kern w:val="0"/>
        <w:position w:val="-36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19" w:rsidRDefault="001B4C19" w:rsidP="00951CAA">
      <w:r>
        <w:separator/>
      </w:r>
    </w:p>
  </w:footnote>
  <w:footnote w:type="continuationSeparator" w:id="0">
    <w:p w:rsidR="001B4C19" w:rsidRDefault="001B4C19" w:rsidP="00951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19" w:rsidRDefault="001B4C1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AF8"/>
    <w:rsid w:val="001962B9"/>
    <w:rsid w:val="001B4C19"/>
    <w:rsid w:val="001D479B"/>
    <w:rsid w:val="001D6100"/>
    <w:rsid w:val="002176B9"/>
    <w:rsid w:val="0045183E"/>
    <w:rsid w:val="00480684"/>
    <w:rsid w:val="00504BB9"/>
    <w:rsid w:val="006A1346"/>
    <w:rsid w:val="006D5E62"/>
    <w:rsid w:val="007B5B90"/>
    <w:rsid w:val="00927CC9"/>
    <w:rsid w:val="00951CAA"/>
    <w:rsid w:val="009B2043"/>
    <w:rsid w:val="00D0634B"/>
    <w:rsid w:val="00D12CAA"/>
    <w:rsid w:val="00DF6AF8"/>
    <w:rsid w:val="00E71A6D"/>
    <w:rsid w:val="00EF22DD"/>
    <w:rsid w:val="610A1632"/>
    <w:rsid w:val="6A954153"/>
    <w:rsid w:val="713E5516"/>
    <w:rsid w:val="75BA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A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1C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CA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5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1CA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5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1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236</Words>
  <Characters>1348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CL</cp:lastModifiedBy>
  <cp:revision>10</cp:revision>
  <dcterms:created xsi:type="dcterms:W3CDTF">2020-12-23T04:16:00Z</dcterms:created>
  <dcterms:modified xsi:type="dcterms:W3CDTF">2021-01-30T10:22:00Z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